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" w:lineRule="auto"/>
        <w:jc w:val="both"/>
        <w:rPr>
          <w:rFonts w:ascii="Montserrat" w:cs="Montserrat" w:eastAsia="Montserrat" w:hAnsi="Montserrat"/>
          <w:b w:val="1"/>
          <w:bCs w:val="1"/>
          <w:sz w:val="40"/>
          <w:szCs w:val="40"/>
        </w:rPr>
      </w:pPr>
      <w:bookmarkStart w:colFirst="0" w:colLast="0" w:name="_z0k0g614zgg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="36" w:lineRule="auto"/>
        <w:jc w:val="both"/>
        <w:rPr>
          <w:rFonts w:ascii="Montserrat" w:cs="Montserrat" w:eastAsia="Montserrat" w:hAnsi="Montserrat"/>
          <w:b w:val="1"/>
          <w:bCs w:val="1"/>
          <w:sz w:val="40"/>
          <w:szCs w:val="40"/>
        </w:rPr>
      </w:pPr>
      <w:bookmarkStart w:colFirst="0" w:colLast="0" w:name="_xskve9rrrv6l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ACUERDO DE NIVEL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36" w:lineRule="auto"/>
        <w:jc w:val="both"/>
        <w:rPr>
          <w:rFonts w:ascii="Montserrat" w:cs="Montserrat" w:eastAsia="Montserrat" w:hAnsi="Montserrat"/>
          <w:b w:val="1"/>
          <w:bCs w:val="1"/>
          <w:sz w:val="40"/>
          <w:szCs w:val="40"/>
        </w:rPr>
      </w:pPr>
      <w:bookmarkStart w:colFirst="0" w:colLast="0" w:name="_g80n6wxqxjin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sz w:val="40"/>
          <w:szCs w:val="40"/>
          <w:rtl w:val="0"/>
        </w:rPr>
        <w:t xml:space="preserve">DE SERVICIO (SLA)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Este documento establece los términos de calidad y tiempos de respuesta que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[NOMBRE DE TU EMPRESA]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(en adelante "EL PROVEEDOR") garantiza 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[NOMBRE DEL CLIENTE]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(en adelante "EL CLIENTE") para la correcta operación de los equipos de impresión y multifuncionales contratados.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heh7vyv0r5o8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1. HORARIOS Y MEDIOS DE CONTACTO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El servicio de soporte técnico se prestará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lunes a viernes de 09:00 a 18:00 horas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(Tiempo del Centro de México), exceptuando días festivos oficiales conforme a la Ley Federal del Trabajo.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Canal Primario de Reporte: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[Insertar Portal, App o Web]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Canal Secundario: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[Insertar Teléfono o WhatsApp]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Correo de Soporte: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[Insertar correo electrónico]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cueaby7skc2i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2. CLASIFICACIÓN DE INCIDENCIAS Y TIEMPOS COMPROMISO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Las solicitudes se atenderán según su impacto en la operación del CLIENTE, bajo los siguientes plazos máximos:</w:t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4380"/>
        <w:gridCol w:w="1500"/>
        <w:gridCol w:w="1455"/>
        <w:tblGridChange w:id="0">
          <w:tblGrid>
            <w:gridCol w:w="1605"/>
            <w:gridCol w:w="4380"/>
            <w:gridCol w:w="1500"/>
            <w:gridCol w:w="1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Prioridad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Definición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Tiempo de respuesta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Tiempo de Solución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P1 - Crítica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Equipo totalmente inoperativo que detiene un área clave de la empresa.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2 horas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hábiles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8 horas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hábiles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P2 - Alta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Falla grave en funciones principales (ej. escáner o impresión a color) sin respaldo.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4 horas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hábiles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24 horas hábiles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P3 - Media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Falla parcial que permite seguir operando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(ej. ruidos, calidad de imagen baja).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8 horas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hábiles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48 horas hábiles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P4 - Baja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Dudas de configuración, capacitación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o solicitudes estéticas.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24 horas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hábiles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5 días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hábiles</w:t>
            </w:r>
          </w:p>
        </w:tc>
      </w:tr>
    </w:tbl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kj5s087vyiv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n75bj7xze8wu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3. RESUMEN DE DISPONIBILIDAD MENSUAL (UPTIME)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Además de los tiempos de atención por reporte, el desempeño global del servicio se regirá bajo la siguiente métrica de cumplimiento mensual:</w:t>
      </w: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10"/>
        <w:gridCol w:w="2190"/>
        <w:gridCol w:w="3900"/>
        <w:tblGridChange w:id="0">
          <w:tblGrid>
            <w:gridCol w:w="2910"/>
            <w:gridCol w:w="2190"/>
            <w:gridCol w:w="3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Indicador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Meta de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Cumplimiento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Método de 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Cálculo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Disponibilidad de Flota 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sz w:val="18"/>
                <w:szCs w:val="18"/>
                <w:rtl w:val="0"/>
              </w:rPr>
              <w:t xml:space="preserve">(Uptime)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95.0%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mínimo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(Horas hábiles del mes - horas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de inactividad) ÷ horas hábiles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18"/>
                <w:szCs w:val="18"/>
                <w:rtl w:val="0"/>
              </w:rPr>
              <w:t xml:space="preserve">del mes × 100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spacing w:after="40" w:before="240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3.1 Notas sobre la disponibilidad: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720" w:right="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Alcance: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Esta meta asegura que, independientemente del número de reportes, el equipo esté listo para operar la mayor parte de tu jornada laboral.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Penalizaciones: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caso de que el Uptime sea inferior a la meta establecida (y no sea causado por una de las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Excepciones de Servicio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), se aplicarán los ajustes o notas de crédito estipulados en la sección de penalizaciones del contrato.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Reporte: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Los datos para este cálculo se obtendrán directamente del sistema de gestión de tickets o del software de monitoreo remoto de los equipos.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[Agregar otros que consideres necesarios]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y73fj6gipzpm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4. PROTOCOLO DE ACTUACIÓN ANTE FALLOS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Para asegurar el cumplimiento de los tiempos pactados en este SLA, las Partes se sujetarán al siguiente procedimiento de atención :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[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Si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0"/>
          <w:szCs w:val="20"/>
          <w:rtl w:val="0"/>
        </w:rPr>
        <w:t xml:space="preserve"> no cuentas con un protocolo establecido, está base es perfecta para ti. Si ya tienes uno, agrégalo en esta sección].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Apertura del reporte: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El flujo inicia únicamente cuando el CLIENTE genera un ticket a través de los canales oficiales. El "Tiempo de Respuesta" comenzará a contabilizarse a partir de la emisión del número de folio correspondiente.</w:t>
      </w:r>
    </w:p>
    <w:p w:rsidR="00000000" w:rsidDel="00000000" w:rsidP="00000000" w:rsidRDefault="00000000" w:rsidRPr="00000000" w14:paraId="00000040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Primer contacto y diagnóstico remoto: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Una vez recibido el reporte, el personal técnico realizará un contacto inicial para intentar resolver la incidencia vía telefónica o remota. Si la falla se resuelve en este paso (ej. configuración de drivers o reinicio de equipo), el ticket se cerrará como "Solucionado Remotamente".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Asignación de visita técnica: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Si la solución remota no es posible, se programará la visita de un técnico al domicilio del CLIENTE. El "Tiempo de Solución" incluye el traslado y la intervención física.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Interrupción del tiempo de solución: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El reloj del SLA se pausará si el técnico no puede proceder por causas ajenas a su control, tales como: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Falta de acceso físico al equipo.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Ausencia del personal responsable para firmar la orden de servicio.</w:t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Necesidad de una refacción específica no disponible en el stock local (en cuyo caso se notificará una nueva fecha de reparación).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Cierre y conformidad: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La incidencia se considerará resuelta cuando el equipo recupere su funcionalidad técnica. EL CLIENTE deberá firmar la Orden de Servicio (físico o digital), lo cual servirá como evidencia de cierre para el cálculo de métricas mensuales.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jzuu9gkt52jb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4. GESTIÓN DE CONSUMIBLES (TÓNER)</w:t>
      </w:r>
    </w:p>
    <w:p w:rsidR="00000000" w:rsidDel="00000000" w:rsidP="00000000" w:rsidRDefault="00000000" w:rsidRPr="00000000" w14:paraId="00000048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EL PROVEEDOR garantiza el suministro de tóner y consumibles bajo las siguientes reglas: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El envío se gestionará automáticamente o vía reporte cuando el nivel sea inferior al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10%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El tiempo de entrega será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[Insertar horas, ej: 24]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horas hábiles tras la generación del reporte.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El CLIENTE se obliga a utilizar únicamente consumibles suministrados por EL PROVEEDOR para evitar daños que invaliden este acuerdo.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mrd2bd5qdu95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5. MANTENIMIENTO PREVENTIVO</w:t>
      </w:r>
    </w:p>
    <w:p w:rsidR="00000000" w:rsidDel="00000000" w:rsidP="00000000" w:rsidRDefault="00000000" w:rsidRPr="00000000" w14:paraId="0000004D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EL PROVEEDOR programará visitas de mantenimiento preventivo con una frecuencia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[Insertar frecuencia, ej: trimestral]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 Estas visitas se coordinarán con al menos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24 horas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de anticipación para no afectar la operación del CLIENTE.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qp1rbyks9b0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6. OBLIGACIONES DEL CLIENTE Y EXCLUSIONES</w:t>
      </w:r>
    </w:p>
    <w:p w:rsidR="00000000" w:rsidDel="00000000" w:rsidP="00000000" w:rsidRDefault="00000000" w:rsidRPr="00000000" w14:paraId="0000004F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6.1 Responsabilidades del CLIENTE: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Facilitar el acceso físico al personal técnico y designar un contacto responsable en sitio.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Proveer condiciones ambientales adecuadas (electricidad regulada, ventilación y papel bond de calidad).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[Agregar otros que consideres necesarios]</w:t>
      </w:r>
    </w:p>
    <w:p w:rsidR="00000000" w:rsidDel="00000000" w:rsidP="00000000" w:rsidRDefault="00000000" w:rsidRPr="00000000" w14:paraId="00000053">
      <w:pPr>
        <w:spacing w:after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6.2 Exclusiones:</w:t>
      </w:r>
    </w:p>
    <w:p w:rsidR="00000000" w:rsidDel="00000000" w:rsidP="00000000" w:rsidRDefault="00000000" w:rsidRPr="00000000" w14:paraId="00000054">
      <w:pPr>
        <w:spacing w:after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EL PROVEEDOR no será responsable por incumplimientos del SLA derivados de: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Fallas en la red eléctrica, internet o infraestructura del CLIENTE.</w:t>
      </w:r>
    </w:p>
    <w:p w:rsidR="00000000" w:rsidDel="00000000" w:rsidP="00000000" w:rsidRDefault="00000000" w:rsidRPr="00000000" w14:paraId="00000056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Daños por uso negligente, vandalismo o manipulación por personal ajeno al PROVEEDOR.</w:t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Retrasos en el acceso a las instalaciones por protocolos de seguridad del CLIENTE.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after="0" w:afterAutospacing="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Desabasto nacional de insumos por causas de fuerza mayor.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pacing w:after="24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[Agregar otros que consideres necesarios]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82d4budli34x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7. PENALIZACIONES</w:t>
      </w:r>
    </w:p>
    <w:p w:rsidR="00000000" w:rsidDel="00000000" w:rsidP="00000000" w:rsidRDefault="00000000" w:rsidRPr="00000000" w14:paraId="0000005B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7.1 Por Incumplimiento en tiempos de solución (SLA):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En caso de que EL PROVEEDOR exceda el Tiempo de Solución en incidencias de prioridad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P1 (Crítica)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más 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[Insertar nú2]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veces dentro del mismo mes calendario, EL CLIENTE tendrá derecho a una bonificación del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[Insertar %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]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sobre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el cargo de renta mensual del equipo afectado.</w:t>
      </w:r>
    </w:p>
    <w:p w:rsidR="00000000" w:rsidDel="00000000" w:rsidP="00000000" w:rsidRDefault="00000000" w:rsidRPr="00000000" w14:paraId="0000005D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7.2 Por Incumplimiento en disponibilidad (Uptime):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E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 al cierre del mes,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Disponibilidad de Flota (Uptime)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de un equipo se sitúa por debajo del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95 %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acordado en este documento, EL CLIENTE podrá solicitar una bonificación conforme a la siguiente escala: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90% a 94.9% de Uptime: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[Insertar %, ej. 5%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] de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bonificación sobre la renta del equipo.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Menos del 90% de Uptime: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[Insertar %, ej. 10%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] de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bonificación sobre la renta del equipo.</w:t>
      </w:r>
    </w:p>
    <w:p w:rsidR="00000000" w:rsidDel="00000000" w:rsidP="00000000" w:rsidRDefault="00000000" w:rsidRPr="00000000" w14:paraId="00000061">
      <w:pPr>
        <w:spacing w:after="240" w:before="240" w:lineRule="auto"/>
        <w:jc w:val="both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7.3 Condiciones de las penalizaciones: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Monto máximo: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En ningún caso el total de las bonificaciones mensuales excederá el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[Insertar %]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del cargo de renta mensual del equipo afectado.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Exclusiones: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No aplicarán penalizaciones si el retraso es derivado de las exclusiones mencionadas en este documento.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rFonts w:ascii="Sora" w:cs="Sora" w:eastAsia="Sora" w:hAnsi="Sora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Procedimiento: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El cliente deberá solicitar la bonificación por escrito dentro de los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primeros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5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días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hábiles del mes posterior al incidente.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0" w:line="276" w:lineRule="auto"/>
        <w:ind w:left="0" w:right="0" w:firstLine="0"/>
        <w:jc w:val="both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mh2q9tve895g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8 ACEPTACIÓN DE NIVELES DE SERVICIO</w:t>
      </w:r>
    </w:p>
    <w:p w:rsidR="00000000" w:rsidDel="00000000" w:rsidP="00000000" w:rsidRDefault="00000000" w:rsidRPr="00000000" w14:paraId="00000066">
      <w:pPr>
        <w:spacing w:after="240" w:before="24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Las partes manifiestan su conformidad con los indicadores, tiempos de respuesta y cláusulas de disponibilidad estipulados en el presente documento.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spacing w:before="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POR EL PROVEEDOR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spacing w:before="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POR EL CLIENTE</w:t>
            </w:r>
          </w:p>
        </w:tc>
      </w:tr>
      <w:tr>
        <w:trPr>
          <w:cantSplit w:val="0"/>
          <w:trHeight w:val="490.3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spacing w:after="240" w:befor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spacing w:after="240" w:befor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spacing w:before="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[Nombre del Representante]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spacing w:before="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[Cargo]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spacing w:after="240" w:befor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spacing w:after="240" w:before="240" w:lineRule="auto"/>
              <w:jc w:val="center"/>
              <w:rPr>
                <w:rFonts w:ascii="Montserrat" w:cs="Montserrat" w:eastAsia="Montserrat" w:hAnsi="Montserrat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spacing w:before="0" w:lineRule="auto"/>
              <w:jc w:val="center"/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[Nombre del Representante]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spacing w:before="0" w:lineRule="auto"/>
              <w:jc w:val="center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000000"/>
                <w:sz w:val="20"/>
                <w:szCs w:val="20"/>
                <w:rtl w:val="0"/>
              </w:rPr>
              <w:t xml:space="preserve">[Cargo]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spacing w:before="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Fecha: 01/01/2026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spacing w:before="0" w:lineRule="auto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Fecha: 01/01/2026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before="0" w:lineRule="auto"/>
        <w:jc w:val="both"/>
        <w:rPr>
          <w:rFonts w:ascii="Montserrat" w:cs="Montserrat" w:eastAsia="Montserrat" w:hAnsi="Montserrat"/>
          <w:color w:val="000000"/>
          <w:sz w:val="20"/>
          <w:szCs w:val="20"/>
        </w:rPr>
      </w:pPr>
      <w:bookmarkStart w:colFirst="0" w:colLast="0" w:name="_skkg5sb63r1f" w:id="13"/>
      <w:bookmarkEnd w:id="13"/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ra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/>
      <w:pict>
        <v:shape id="WordPictureWatermark1" style="position:absolute;width:600.196535433071pt;height:848.7872036140528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Sora-regular.ttf"/><Relationship Id="rId6" Type="http://schemas.openxmlformats.org/officeDocument/2006/relationships/font" Target="fonts/Sor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